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2E" w:rsidRDefault="004C2D2E" w:rsidP="004C2D2E">
      <w:pPr>
        <w:shd w:val="clear" w:color="auto" w:fill="FFFFFF"/>
        <w:spacing w:line="288" w:lineRule="exact"/>
        <w:ind w:right="22"/>
        <w:jc w:val="center"/>
        <w:rPr>
          <w:b/>
          <w:bCs/>
          <w:spacing w:val="-14"/>
          <w:sz w:val="26"/>
          <w:szCs w:val="26"/>
        </w:rPr>
      </w:pPr>
    </w:p>
    <w:tbl>
      <w:tblPr>
        <w:tblW w:w="10456" w:type="dxa"/>
        <w:tblLayout w:type="fixed"/>
        <w:tblLook w:val="0000"/>
      </w:tblPr>
      <w:tblGrid>
        <w:gridCol w:w="10"/>
        <w:gridCol w:w="10446"/>
      </w:tblGrid>
      <w:tr w:rsidR="004C2D2E" w:rsidRPr="00C57590" w:rsidTr="00591A74">
        <w:trPr>
          <w:gridBefore w:val="1"/>
          <w:wBefore w:w="10" w:type="dxa"/>
          <w:trHeight w:val="1560"/>
        </w:trPr>
        <w:tc>
          <w:tcPr>
            <w:tcW w:w="10446" w:type="dxa"/>
          </w:tcPr>
          <w:p w:rsidR="004C2D2E" w:rsidRPr="00C57590" w:rsidRDefault="004C2D2E" w:rsidP="00591A74">
            <w:pPr>
              <w:pStyle w:val="a4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577850" cy="723900"/>
                  <wp:effectExtent l="19050" t="0" r="0" b="0"/>
                  <wp:docPr id="1" name="Рисунок 1" descr="01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1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D2E" w:rsidRPr="009D4161" w:rsidRDefault="004C2D2E" w:rsidP="00591A74">
            <w:pPr>
              <w:pStyle w:val="a4"/>
              <w:jc w:val="center"/>
              <w:rPr>
                <w:sz w:val="26"/>
                <w:szCs w:val="26"/>
              </w:rPr>
            </w:pPr>
            <w:r w:rsidRPr="009D4161">
              <w:rPr>
                <w:sz w:val="26"/>
                <w:szCs w:val="26"/>
              </w:rPr>
              <w:t>АДМИНИСТРАЦИЯ НИКОЛЬСКОГО СЕЛЬСКОГО ПОСЕЛЕНИЯ</w:t>
            </w:r>
          </w:p>
          <w:p w:rsidR="004C2D2E" w:rsidRPr="009D4161" w:rsidRDefault="004C2D2E" w:rsidP="00591A74">
            <w:pPr>
              <w:pStyle w:val="a4"/>
              <w:jc w:val="center"/>
              <w:rPr>
                <w:sz w:val="26"/>
                <w:szCs w:val="26"/>
              </w:rPr>
            </w:pPr>
            <w:r w:rsidRPr="009D4161">
              <w:rPr>
                <w:sz w:val="26"/>
                <w:szCs w:val="26"/>
              </w:rPr>
              <w:t>НОВОУСМАНСКОГО МУНИЦИПАЛЬНОГО РАЙОНА</w:t>
            </w:r>
          </w:p>
          <w:p w:rsidR="004C2D2E" w:rsidRPr="009D4161" w:rsidRDefault="004C2D2E" w:rsidP="00591A74">
            <w:pPr>
              <w:pStyle w:val="a4"/>
              <w:jc w:val="center"/>
              <w:rPr>
                <w:sz w:val="26"/>
                <w:szCs w:val="26"/>
              </w:rPr>
            </w:pPr>
            <w:r w:rsidRPr="009D4161">
              <w:rPr>
                <w:sz w:val="26"/>
                <w:szCs w:val="26"/>
              </w:rPr>
              <w:t>ВОРОНЕЖСКОЙ ОБЛАСТИ</w:t>
            </w:r>
          </w:p>
          <w:p w:rsidR="004C2D2E" w:rsidRPr="009D4161" w:rsidRDefault="004C2D2E" w:rsidP="00591A74">
            <w:pPr>
              <w:pStyle w:val="a4"/>
              <w:jc w:val="center"/>
              <w:rPr>
                <w:sz w:val="26"/>
                <w:szCs w:val="26"/>
              </w:rPr>
            </w:pPr>
          </w:p>
          <w:p w:rsidR="004C2D2E" w:rsidRPr="00C57590" w:rsidRDefault="004C2D2E" w:rsidP="00591A74">
            <w:pPr>
              <w:jc w:val="center"/>
              <w:rPr>
                <w:sz w:val="28"/>
                <w:szCs w:val="28"/>
              </w:rPr>
            </w:pPr>
            <w:r w:rsidRPr="009D416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  <w:tr w:rsidR="004C2D2E" w:rsidRPr="00C13E03" w:rsidTr="00591A74">
        <w:trPr>
          <w:trHeight w:val="369"/>
        </w:trPr>
        <w:tc>
          <w:tcPr>
            <w:tcW w:w="10456" w:type="dxa"/>
            <w:gridSpan w:val="2"/>
          </w:tcPr>
          <w:p w:rsidR="004C2D2E" w:rsidRPr="00C13E03" w:rsidRDefault="004C2D2E" w:rsidP="00591A74">
            <w:pPr>
              <w:pStyle w:val="2"/>
              <w:tabs>
                <w:tab w:val="left" w:pos="4485"/>
                <w:tab w:val="left" w:pos="5085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13E0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1458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23</w:t>
            </w:r>
            <w:r w:rsidRPr="00C13E0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0</w:t>
            </w:r>
            <w:r w:rsidR="0076260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.202</w:t>
            </w:r>
            <w:r w:rsidR="00591A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  <w:r w:rsidRPr="00C13E0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№</w:t>
            </w:r>
            <w:r w:rsidR="001458F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105</w:t>
            </w:r>
          </w:p>
        </w:tc>
      </w:tr>
      <w:tr w:rsidR="004C2D2E" w:rsidRPr="00C57590" w:rsidTr="00591A74">
        <w:trPr>
          <w:trHeight w:val="60"/>
        </w:trPr>
        <w:tc>
          <w:tcPr>
            <w:tcW w:w="10456" w:type="dxa"/>
            <w:gridSpan w:val="2"/>
          </w:tcPr>
          <w:p w:rsidR="004C2D2E" w:rsidRPr="00C57590" w:rsidRDefault="004C2D2E" w:rsidP="00591A74">
            <w:pPr>
              <w:rPr>
                <w:sz w:val="28"/>
                <w:szCs w:val="28"/>
              </w:rPr>
            </w:pPr>
          </w:p>
        </w:tc>
      </w:tr>
      <w:tr w:rsidR="004C2D2E" w:rsidRPr="00C13E03" w:rsidTr="00591A74">
        <w:tc>
          <w:tcPr>
            <w:tcW w:w="10456" w:type="dxa"/>
            <w:gridSpan w:val="2"/>
          </w:tcPr>
          <w:p w:rsidR="004C2D2E" w:rsidRPr="00C13E03" w:rsidRDefault="004C2D2E" w:rsidP="00591A74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13E0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посёлок 1-го отделения</w:t>
            </w:r>
          </w:p>
          <w:p w:rsidR="004C2D2E" w:rsidRPr="00C13E03" w:rsidRDefault="004C2D2E" w:rsidP="00591A74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13E0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совхоза  «Масловский»</w:t>
            </w:r>
          </w:p>
        </w:tc>
      </w:tr>
    </w:tbl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00"/>
      </w:tblGrid>
      <w:tr w:rsidR="00F717E7" w:rsidRPr="00F717E7" w:rsidTr="00F717E7">
        <w:tc>
          <w:tcPr>
            <w:tcW w:w="0" w:type="auto"/>
            <w:vAlign w:val="center"/>
            <w:hideMark/>
          </w:tcPr>
          <w:p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анализа </w:t>
            </w:r>
            <w:proofErr w:type="gramStart"/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финансовых</w:t>
            </w:r>
            <w:proofErr w:type="gramEnd"/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экономических, </w:t>
            </w:r>
          </w:p>
          <w:p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социальных и иных показателей состояния торговли и </w:t>
            </w:r>
          </w:p>
          <w:p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эффективности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развитию </w:t>
            </w:r>
          </w:p>
          <w:p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торговой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Никольского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Новоусманск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муниципального </w:t>
            </w:r>
          </w:p>
          <w:p w:rsidR="00F717E7" w:rsidRPr="00F717E7" w:rsidRDefault="00F717E7" w:rsidP="00591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Воронежской области по итогам 202</w:t>
            </w:r>
            <w:r w:rsidR="00591A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r w:rsidR="004C2D2E">
        <w:rPr>
          <w:rFonts w:ascii="Times New Roman" w:eastAsia="Times New Roman" w:hAnsi="Times New Roman" w:cs="Times New Roman"/>
          <w:sz w:val="28"/>
          <w:szCs w:val="28"/>
        </w:rPr>
        <w:t>Николь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Н</w:t>
      </w:r>
      <w:r w:rsidR="004C2D2E">
        <w:rPr>
          <w:rFonts w:ascii="Times New Roman" w:eastAsia="Times New Roman" w:hAnsi="Times New Roman" w:cs="Times New Roman"/>
          <w:sz w:val="28"/>
          <w:szCs w:val="28"/>
        </w:rPr>
        <w:t>овоусманс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Воронежской области, </w:t>
      </w:r>
      <w:r w:rsidR="004C2D2E">
        <w:rPr>
          <w:rFonts w:ascii="Times New Roman" w:eastAsia="Times New Roman" w:hAnsi="Times New Roman" w:cs="Times New Roman"/>
          <w:sz w:val="28"/>
          <w:szCs w:val="28"/>
        </w:rPr>
        <w:t>администрация Никольского сельского поселения Новоусманского муниципального района Воронежской области</w:t>
      </w:r>
    </w:p>
    <w:p w:rsidR="004C2D2E" w:rsidRDefault="004C2D2E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Default="004C2D2E" w:rsidP="004C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Pr="004C2D2E" w:rsidRDefault="00F717E7" w:rsidP="004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2E">
        <w:rPr>
          <w:rFonts w:ascii="Times New Roman" w:eastAsia="Times New Roman" w:hAnsi="Times New Roman" w:cs="Times New Roman"/>
          <w:sz w:val="28"/>
          <w:szCs w:val="28"/>
        </w:rPr>
        <w:t xml:space="preserve">     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4C2D2E" w:rsidRPr="004C2D2E">
        <w:rPr>
          <w:rFonts w:ascii="Times New Roman" w:eastAsia="Times New Roman" w:hAnsi="Times New Roman" w:cs="Times New Roman"/>
          <w:sz w:val="28"/>
          <w:szCs w:val="28"/>
        </w:rPr>
        <w:t>Никольского сельского поселения Новоусманского муниципального района Воронежской области по итогам 202</w:t>
      </w:r>
      <w:r w:rsidR="00591A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C2D2E" w:rsidRPr="004C2D2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C2D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C1365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 области»  и  на  официальном сайте администрации Никольского сельского </w:t>
      </w:r>
      <w:r w:rsidRPr="00C13655">
        <w:rPr>
          <w:rFonts w:ascii="Times New Roman" w:hAnsi="Times New Roman" w:cs="Times New Roman"/>
          <w:sz w:val="28"/>
          <w:szCs w:val="28"/>
        </w:rPr>
        <w:lastRenderedPageBreak/>
        <w:t>поселения в информационно-телекоммуникационной сети «Интернет» https://nikolskoe-novousmanskij-r20.gosweb.gosuslugi.ru/.</w:t>
      </w:r>
      <w:proofErr w:type="gramEnd"/>
    </w:p>
    <w:p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C13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6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F717E7" w:rsidRPr="00C13655" w:rsidRDefault="004C2D2E" w:rsidP="004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</w:t>
      </w:r>
      <w:r w:rsidR="00C136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C13655"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  <w:r w:rsidR="00F717E7" w:rsidRPr="00C1365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717E7" w:rsidRPr="004C2D2E" w:rsidRDefault="00F717E7" w:rsidP="004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Pr="00F717E7" w:rsidRDefault="00F717E7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:rsidR="00F717E7" w:rsidRPr="00F717E7" w:rsidRDefault="00F717E7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717E7" w:rsidRPr="00F717E7" w:rsidRDefault="006355EB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Николь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F717E7" w:rsidRDefault="00F717E7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458F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1A74"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91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F6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17E7" w:rsidRPr="00F717E7" w:rsidRDefault="00F717E7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</w:p>
    <w:p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финансовых, экономических, социальных и иных показателей состояния </w:t>
      </w:r>
    </w:p>
    <w:p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торговли и анализ эффективности применения мер по развитию торговой деятельности на территории 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>Николь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</w:t>
      </w:r>
    </w:p>
    <w:p w:rsidR="00F717E7" w:rsidRDefault="006355EB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Новоусманс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Воронежской области </w:t>
      </w:r>
    </w:p>
    <w:p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91A74">
        <w:rPr>
          <w:rFonts w:ascii="Times New Roman" w:eastAsia="Times New Roman" w:hAnsi="Times New Roman" w:cs="Times New Roman"/>
          <w:sz w:val="28"/>
          <w:szCs w:val="28"/>
        </w:rPr>
        <w:t xml:space="preserve"> итогам 2024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717E7" w:rsidRP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>Николь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Н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>овоусманс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 Во</w:t>
      </w:r>
      <w:r w:rsidR="00591A74">
        <w:rPr>
          <w:rFonts w:ascii="Times New Roman" w:eastAsia="Times New Roman" w:hAnsi="Times New Roman" w:cs="Times New Roman"/>
          <w:sz w:val="28"/>
          <w:szCs w:val="28"/>
        </w:rPr>
        <w:t>ронежской области по итогам 2024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 </w:t>
      </w:r>
      <w:proofErr w:type="gramEnd"/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зарегистрировано </w:t>
      </w:r>
      <w:r w:rsidR="001458F6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591A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субъектов малого и среднего предпринимательства из них: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>- индивидуальных предпринимателей –</w:t>
      </w:r>
      <w:r w:rsidR="001458F6">
        <w:rPr>
          <w:rFonts w:ascii="Times New Roman" w:eastAsia="Times New Roman" w:hAnsi="Times New Roman" w:cs="Times New Roman"/>
          <w:sz w:val="28"/>
          <w:szCs w:val="28"/>
        </w:rPr>
        <w:t>43.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</w:t>
      </w:r>
      <w:proofErr w:type="gramStart"/>
      <w:r w:rsidRPr="00F717E7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имеет развитие потребительского рынка.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Торговля на территории сельского поселения представлена в основном сектором розничной торговли, осуществляют деятельность </w:t>
      </w:r>
      <w:r w:rsidR="00C13655" w:rsidRPr="001458F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591A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>магазин</w:t>
      </w:r>
      <w:r w:rsidR="008B392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. Ассортимент продукции торговли в целом удовлетворяет спрос населения.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F717E7">
        <w:rPr>
          <w:rFonts w:ascii="Times New Roman" w:eastAsia="Times New Roman" w:hAnsi="Times New Roman" w:cs="Times New Roman"/>
          <w:sz w:val="28"/>
          <w:szCs w:val="28"/>
        </w:rPr>
        <w:t>Проблемой, препятствующей развитию сектора торговли в сельском поселении является</w:t>
      </w:r>
      <w:proofErr w:type="gramEnd"/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недостаточный уровень развития кооперации; наличие большого числа посредников между небольшими производителями и небольшими торговыми организациями.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Большинство участников сектора торговли отмечают низкий уровень подготовки персонала для торговых организаций. Ключевыми факторами дефицита сотрудников низкой квалификации являются социальная непрестижность профессий в торговле, низкие зарплаты и социальные гарантии (отсутствие таковых).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в рамках полномочий, предусмотренных законодательством, в силу своих возможностей занимается улучшением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обеспечения жителей сельского поселения услугами торговли. В частности, это выражается в участии по размещению новых объектов торговли, в содержании подъездных автомобильных дорог в летний и зимний период, содействии в подключении объектов торговли к инженерным сетям.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сельского поселения разработана и утверждена схема размещения нестационарных торговых объектов на территории сельского поселения. </w:t>
      </w:r>
    </w:p>
    <w:p w:rsidR="00287124" w:rsidRPr="00F717E7" w:rsidRDefault="00287124" w:rsidP="00F717E7">
      <w:pPr>
        <w:spacing w:after="0" w:line="240" w:lineRule="auto"/>
        <w:jc w:val="both"/>
        <w:rPr>
          <w:sz w:val="28"/>
          <w:szCs w:val="28"/>
        </w:rPr>
      </w:pPr>
    </w:p>
    <w:sectPr w:rsidR="00287124" w:rsidRPr="00F717E7" w:rsidSect="00F717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F717E7"/>
    <w:rsid w:val="001458F6"/>
    <w:rsid w:val="002100D6"/>
    <w:rsid w:val="00282322"/>
    <w:rsid w:val="00287124"/>
    <w:rsid w:val="004642DF"/>
    <w:rsid w:val="004C2D2E"/>
    <w:rsid w:val="00525BA5"/>
    <w:rsid w:val="00591A74"/>
    <w:rsid w:val="005C0A8C"/>
    <w:rsid w:val="006355EB"/>
    <w:rsid w:val="0076260D"/>
    <w:rsid w:val="008B3925"/>
    <w:rsid w:val="00971323"/>
    <w:rsid w:val="00C13655"/>
    <w:rsid w:val="00DF4656"/>
    <w:rsid w:val="00E12CD3"/>
    <w:rsid w:val="00ED3732"/>
    <w:rsid w:val="00F717E7"/>
    <w:rsid w:val="00F8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05"/>
  </w:style>
  <w:style w:type="paragraph" w:styleId="2">
    <w:name w:val="heading 2"/>
    <w:basedOn w:val="a"/>
    <w:next w:val="a"/>
    <w:link w:val="20"/>
    <w:uiPriority w:val="9"/>
    <w:unhideWhenUsed/>
    <w:qFormat/>
    <w:rsid w:val="004C2D2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2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4">
    <w:name w:val="Body Text"/>
    <w:basedOn w:val="a"/>
    <w:link w:val="a5"/>
    <w:rsid w:val="004C2D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C2D2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2018-10-05T01:17:00Z</cp:lastPrinted>
  <dcterms:created xsi:type="dcterms:W3CDTF">2024-03-29T06:48:00Z</dcterms:created>
  <dcterms:modified xsi:type="dcterms:W3CDTF">2018-10-05T01:18:00Z</dcterms:modified>
</cp:coreProperties>
</file>