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91" w:rsidRDefault="00FC3391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3391" w:rsidRDefault="00FC3391" w:rsidP="00FC339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05D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91" w:rsidRPr="00B05DBB" w:rsidRDefault="00FC3391" w:rsidP="00FC339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FC3391" w:rsidRPr="00FC3391" w:rsidRDefault="00FC3391" w:rsidP="00FC33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>АДМИНИСТРАЦИЯ  НИКОЛЬСКОГО  СЕЛЬСКОГО ПОСЕЛЕНИЯ НОВОУСМАНСКОГО МУНИЦИПАЛЬНОГО РАЙОНА</w:t>
      </w:r>
    </w:p>
    <w:p w:rsidR="00FC3391" w:rsidRPr="00FC3391" w:rsidRDefault="00FC3391" w:rsidP="00FC339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FC3391" w:rsidRDefault="00FC3391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3BF4" w:rsidRDefault="00497D8C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C3391" w:rsidRPr="00FC3391" w:rsidRDefault="00FC3391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3BF4" w:rsidRPr="008B3BF4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от   </w:t>
      </w:r>
      <w:r w:rsidR="008204C0">
        <w:rPr>
          <w:rFonts w:ascii="Times New Roman" w:hAnsi="Times New Roman" w:cs="Times New Roman"/>
          <w:sz w:val="26"/>
          <w:szCs w:val="26"/>
        </w:rPr>
        <w:t>16</w:t>
      </w:r>
      <w:r w:rsidRPr="008B3BF4">
        <w:rPr>
          <w:rFonts w:ascii="Times New Roman" w:hAnsi="Times New Roman" w:cs="Times New Roman"/>
          <w:sz w:val="26"/>
          <w:szCs w:val="26"/>
        </w:rPr>
        <w:t>.</w:t>
      </w:r>
      <w:r w:rsidR="00F235C9">
        <w:rPr>
          <w:rFonts w:ascii="Times New Roman" w:hAnsi="Times New Roman" w:cs="Times New Roman"/>
          <w:sz w:val="26"/>
          <w:szCs w:val="26"/>
        </w:rPr>
        <w:t>08</w:t>
      </w:r>
      <w:r w:rsidR="00497D8C">
        <w:rPr>
          <w:rFonts w:ascii="Times New Roman" w:hAnsi="Times New Roman" w:cs="Times New Roman"/>
          <w:sz w:val="26"/>
          <w:szCs w:val="26"/>
        </w:rPr>
        <w:t>.</w:t>
      </w:r>
      <w:r w:rsidRPr="008B3BF4">
        <w:rPr>
          <w:rFonts w:ascii="Times New Roman" w:hAnsi="Times New Roman" w:cs="Times New Roman"/>
          <w:sz w:val="26"/>
          <w:szCs w:val="26"/>
        </w:rPr>
        <w:t>202</w:t>
      </w:r>
      <w:r w:rsidR="00F235C9">
        <w:rPr>
          <w:rFonts w:ascii="Times New Roman" w:hAnsi="Times New Roman" w:cs="Times New Roman"/>
          <w:sz w:val="26"/>
          <w:szCs w:val="26"/>
        </w:rPr>
        <w:t>3</w:t>
      </w:r>
      <w:r w:rsidRPr="008B3BF4">
        <w:rPr>
          <w:rFonts w:ascii="Times New Roman" w:hAnsi="Times New Roman" w:cs="Times New Roman"/>
          <w:sz w:val="26"/>
          <w:szCs w:val="26"/>
        </w:rPr>
        <w:t xml:space="preserve">    № </w:t>
      </w:r>
      <w:r w:rsidR="008204C0">
        <w:rPr>
          <w:rFonts w:ascii="Times New Roman" w:hAnsi="Times New Roman" w:cs="Times New Roman"/>
          <w:sz w:val="26"/>
          <w:szCs w:val="26"/>
        </w:rPr>
        <w:t>214</w:t>
      </w:r>
      <w:r w:rsidR="00497D8C">
        <w:rPr>
          <w:rFonts w:ascii="Times New Roman" w:hAnsi="Times New Roman" w:cs="Times New Roman"/>
          <w:sz w:val="26"/>
          <w:szCs w:val="26"/>
        </w:rPr>
        <w:t xml:space="preserve">  </w:t>
      </w:r>
      <w:r w:rsidRPr="008B3BF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3BF4" w:rsidRPr="008B3BF4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8B3BF4">
        <w:rPr>
          <w:rFonts w:ascii="Times New Roman" w:hAnsi="Times New Roman" w:cs="Times New Roman"/>
          <w:spacing w:val="-1"/>
          <w:sz w:val="26"/>
          <w:szCs w:val="26"/>
        </w:rPr>
        <w:t>поселок 1-го отделения</w:t>
      </w:r>
    </w:p>
    <w:p w:rsidR="008B3BF4" w:rsidRPr="008B3BF4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совхоза  "Масловский"</w:t>
      </w:r>
    </w:p>
    <w:p w:rsidR="008B3BF4" w:rsidRPr="008B3BF4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5C9" w:rsidRDefault="00F235C9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  внесении  изменений   в   постановление   администрации </w:t>
      </w:r>
    </w:p>
    <w:p w:rsidR="00F235C9" w:rsidRDefault="00F235C9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Никольского      сельского       поселения      Новоусманского </w:t>
      </w:r>
    </w:p>
    <w:p w:rsidR="00F235C9" w:rsidRDefault="00F235C9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Воронежской области от 12.12.2022 </w:t>
      </w:r>
    </w:p>
    <w:p w:rsidR="00824796" w:rsidRDefault="00F235C9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18 «</w:t>
      </w:r>
      <w:r w:rsidR="00824796" w:rsidRPr="00B05DBB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="0082479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24796" w:rsidRPr="00B05DBB">
        <w:rPr>
          <w:rFonts w:ascii="Times New Roman" w:eastAsia="Times New Roman" w:hAnsi="Times New Roman" w:cs="Times New Roman"/>
          <w:sz w:val="26"/>
          <w:szCs w:val="26"/>
        </w:rPr>
        <w:t xml:space="preserve">утверждении </w:t>
      </w:r>
      <w:r w:rsidR="00824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4796" w:rsidRPr="00B05DBB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="00824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4796" w:rsidRPr="00B05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4796" w:rsidRPr="00B05DBB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рисков </w:t>
      </w: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причинения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вреда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(ущерба)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>охраняемым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законом </w:t>
      </w: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ценностям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 xml:space="preserve"> 2023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 xml:space="preserve">год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 xml:space="preserve">  рамках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05DB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DBB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контроля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территории  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Никольского </w:t>
      </w: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</w:p>
    <w:p w:rsidR="00824796" w:rsidRPr="00B05DBB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  <w:r w:rsidR="00F235C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24796" w:rsidRPr="00B05DBB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35C9" w:rsidRPr="00FC3391" w:rsidRDefault="008204C0" w:rsidP="0082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3114C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РФ от 31</w:t>
      </w:r>
      <w:r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2020 № 248–ФЗ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>Уставом Никольского сельского поселения Новоусманского муниципального района Воронежской области, администрация Никольского сельского постановления Новоусманского муниципального района Воронежской</w:t>
      </w:r>
      <w:proofErr w:type="gramEnd"/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F235C9" w:rsidRDefault="00F235C9" w:rsidP="00F23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3391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Е Т:</w:t>
      </w:r>
    </w:p>
    <w:p w:rsidR="00F235C9" w:rsidRPr="00FC3391" w:rsidRDefault="00F235C9" w:rsidP="00F23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35C9" w:rsidRDefault="00F235C9" w:rsidP="00F2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    1. </w:t>
      </w:r>
      <w:r>
        <w:rPr>
          <w:rFonts w:ascii="Times New Roman" w:eastAsia="Times New Roman" w:hAnsi="Times New Roman" w:cs="Times New Roman"/>
          <w:sz w:val="26"/>
          <w:szCs w:val="26"/>
        </w:rPr>
        <w:t>Внести в постановление администрации Никольского сельского поселения      Новоусманского муниципального района Воронежской области от 12.12.2022 № 18 «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>утверждении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>профилактики рисков причинения вреда (ущерба) охраняемым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законом ценностям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2023 год в рамках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контроля </w:t>
      </w:r>
      <w:r>
        <w:rPr>
          <w:rFonts w:ascii="Times New Roman" w:eastAsia="Times New Roman" w:hAnsi="Times New Roman" w:cs="Times New Roman"/>
          <w:sz w:val="26"/>
          <w:szCs w:val="26"/>
        </w:rPr>
        <w:t>на территории Никольского сельского поселения Новоусманского муниципального района Воронежской области» следующие изменения:</w:t>
      </w:r>
    </w:p>
    <w:p w:rsidR="00F235C9" w:rsidRPr="00FC3391" w:rsidRDefault="00F235C9" w:rsidP="00F2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1.1. Приложение к постановлению изложить в новой редакции, согласно приложению.</w:t>
      </w:r>
    </w:p>
    <w:p w:rsidR="008204C0" w:rsidRPr="003114CE" w:rsidRDefault="008204C0" w:rsidP="00820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CE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3114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</w:t>
      </w:r>
      <w:r w:rsidRPr="003114CE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</w:t>
      </w:r>
      <w:hyperlink r:id="rId6" w:history="1">
        <w:r w:rsidRPr="003114CE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Pr="003114CE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3114CE">
          <w:rPr>
            <w:rStyle w:val="ab"/>
            <w:rFonts w:ascii="Times New Roman" w:hAnsi="Times New Roman"/>
            <w:sz w:val="28"/>
            <w:szCs w:val="28"/>
            <w:lang w:val="en-US"/>
          </w:rPr>
          <w:t>nikolskoe</w:t>
        </w:r>
        <w:proofErr w:type="spellEnd"/>
        <w:r w:rsidRPr="003114CE">
          <w:rPr>
            <w:rStyle w:val="ab"/>
            <w:rFonts w:ascii="Times New Roman" w:hAnsi="Times New Roman"/>
            <w:sz w:val="28"/>
            <w:szCs w:val="28"/>
          </w:rPr>
          <w:t>-</w:t>
        </w:r>
        <w:proofErr w:type="spellStart"/>
        <w:r w:rsidRPr="003114CE">
          <w:rPr>
            <w:rStyle w:val="ab"/>
            <w:rFonts w:ascii="Times New Roman" w:hAnsi="Times New Roman"/>
            <w:sz w:val="28"/>
            <w:szCs w:val="28"/>
            <w:lang w:val="en-US"/>
          </w:rPr>
          <w:t>novousmanskij</w:t>
        </w:r>
        <w:proofErr w:type="spellEnd"/>
        <w:r w:rsidRPr="003114CE">
          <w:rPr>
            <w:rStyle w:val="ab"/>
            <w:rFonts w:ascii="Times New Roman" w:hAnsi="Times New Roman"/>
            <w:sz w:val="28"/>
            <w:szCs w:val="28"/>
          </w:rPr>
          <w:t>-</w:t>
        </w:r>
        <w:r w:rsidRPr="003114CE">
          <w:rPr>
            <w:rStyle w:val="ab"/>
            <w:rFonts w:ascii="Times New Roman" w:hAnsi="Times New Roman"/>
            <w:sz w:val="28"/>
            <w:szCs w:val="28"/>
            <w:lang w:val="en-US"/>
          </w:rPr>
          <w:t>r</w:t>
        </w:r>
        <w:r w:rsidRPr="003114CE">
          <w:rPr>
            <w:rStyle w:val="ab"/>
            <w:rFonts w:ascii="Times New Roman" w:hAnsi="Times New Roman"/>
            <w:sz w:val="28"/>
            <w:szCs w:val="28"/>
          </w:rPr>
          <w:t>20.</w:t>
        </w:r>
        <w:proofErr w:type="spellStart"/>
        <w:r w:rsidRPr="003114CE">
          <w:rPr>
            <w:rStyle w:val="ab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3114CE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3114CE">
          <w:rPr>
            <w:rStyle w:val="ab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3114CE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3114CE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114CE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Pr="003114CE">
        <w:rPr>
          <w:rFonts w:ascii="Times New Roman" w:hAnsi="Times New Roman"/>
          <w:sz w:val="28"/>
          <w:szCs w:val="28"/>
        </w:rPr>
        <w:t xml:space="preserve"> </w:t>
      </w:r>
      <w:r w:rsidRPr="003114C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Pr="003114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14CE">
        <w:rPr>
          <w:rFonts w:ascii="Times New Roman" w:hAnsi="Times New Roman" w:cs="Times New Roman"/>
          <w:sz w:val="28"/>
          <w:szCs w:val="28"/>
        </w:rPr>
        <w:t xml:space="preserve"> «Интернет».</w:t>
      </w:r>
      <w:proofErr w:type="gramEnd"/>
    </w:p>
    <w:p w:rsidR="008204C0" w:rsidRPr="003114CE" w:rsidRDefault="008204C0" w:rsidP="008204C0">
      <w:pPr>
        <w:pStyle w:val="ConsPlusNormal"/>
        <w:jc w:val="both"/>
        <w:rPr>
          <w:sz w:val="28"/>
          <w:szCs w:val="28"/>
        </w:rPr>
      </w:pPr>
      <w:r w:rsidRPr="003114CE">
        <w:rPr>
          <w:sz w:val="28"/>
          <w:szCs w:val="28"/>
        </w:rPr>
        <w:t xml:space="preserve">     3. </w:t>
      </w:r>
      <w:proofErr w:type="gramStart"/>
      <w:r w:rsidRPr="003114CE">
        <w:rPr>
          <w:sz w:val="28"/>
          <w:szCs w:val="28"/>
        </w:rPr>
        <w:t>Контроль за</w:t>
      </w:r>
      <w:proofErr w:type="gramEnd"/>
      <w:r w:rsidRPr="003114C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04C0" w:rsidRPr="003114CE" w:rsidRDefault="008204C0" w:rsidP="008204C0">
      <w:pPr>
        <w:pStyle w:val="ConsPlusNormal"/>
        <w:jc w:val="both"/>
        <w:rPr>
          <w:sz w:val="28"/>
          <w:szCs w:val="28"/>
        </w:rPr>
      </w:pPr>
    </w:p>
    <w:p w:rsidR="008204C0" w:rsidRPr="003114CE" w:rsidRDefault="008204C0" w:rsidP="008204C0">
      <w:pPr>
        <w:pStyle w:val="ConsPlusNormal"/>
        <w:jc w:val="both"/>
        <w:rPr>
          <w:sz w:val="28"/>
          <w:szCs w:val="28"/>
        </w:rPr>
      </w:pPr>
      <w:r w:rsidRPr="003114CE">
        <w:rPr>
          <w:sz w:val="28"/>
          <w:szCs w:val="28"/>
        </w:rPr>
        <w:t>И.о. главы  Никольского  сельского поселения</w:t>
      </w:r>
    </w:p>
    <w:p w:rsidR="008204C0" w:rsidRPr="003114CE" w:rsidRDefault="008204C0" w:rsidP="008204C0">
      <w:pPr>
        <w:pStyle w:val="ConsPlusNormal"/>
        <w:jc w:val="both"/>
        <w:rPr>
          <w:sz w:val="28"/>
          <w:szCs w:val="28"/>
        </w:rPr>
      </w:pPr>
      <w:r w:rsidRPr="003114CE">
        <w:rPr>
          <w:sz w:val="28"/>
          <w:szCs w:val="28"/>
        </w:rPr>
        <w:t>Новоусманского муниципального района</w:t>
      </w:r>
    </w:p>
    <w:p w:rsidR="008204C0" w:rsidRPr="003114CE" w:rsidRDefault="008204C0" w:rsidP="008204C0">
      <w:pPr>
        <w:pStyle w:val="ConsPlusNormal"/>
        <w:jc w:val="both"/>
        <w:rPr>
          <w:sz w:val="28"/>
          <w:szCs w:val="28"/>
        </w:rPr>
      </w:pPr>
      <w:r w:rsidRPr="003114CE">
        <w:rPr>
          <w:sz w:val="28"/>
          <w:szCs w:val="28"/>
        </w:rPr>
        <w:t xml:space="preserve">Воронежской области                                                                        </w:t>
      </w:r>
      <w:proofErr w:type="spellStart"/>
      <w:r w:rsidRPr="003114CE">
        <w:rPr>
          <w:sz w:val="28"/>
          <w:szCs w:val="28"/>
        </w:rPr>
        <w:t>В.Н.Мизиева</w:t>
      </w:r>
      <w:proofErr w:type="spellEnd"/>
      <w:r w:rsidRPr="003114CE">
        <w:rPr>
          <w:sz w:val="28"/>
          <w:szCs w:val="28"/>
        </w:rPr>
        <w:t xml:space="preserve"> </w:t>
      </w:r>
    </w:p>
    <w:p w:rsidR="008204C0" w:rsidRPr="003114CE" w:rsidRDefault="008204C0" w:rsidP="008204C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5C9" w:rsidRPr="00BE2463" w:rsidRDefault="00F235C9" w:rsidP="00F235C9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82047D" w:rsidRPr="007D7B5F" w:rsidRDefault="0082047D" w:rsidP="00820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C05" w:rsidRDefault="00C35C05" w:rsidP="0082479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35C05" w:rsidRDefault="00C35C05" w:rsidP="0082479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35C05" w:rsidRPr="005931AC" w:rsidRDefault="00C35C05" w:rsidP="0082479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F235C9" w:rsidRDefault="00F235C9" w:rsidP="00820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4C0" w:rsidRDefault="008204C0" w:rsidP="0082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5C9" w:rsidRPr="008B3BF4" w:rsidRDefault="00F235C9" w:rsidP="00F235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F235C9" w:rsidRPr="008B3BF4" w:rsidRDefault="00F235C9" w:rsidP="00F235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</w:t>
      </w:r>
    </w:p>
    <w:p w:rsidR="00F235C9" w:rsidRPr="008B3BF4" w:rsidRDefault="00F235C9" w:rsidP="00F235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F235C9" w:rsidRPr="008B3BF4" w:rsidRDefault="00F235C9" w:rsidP="00F235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235C9" w:rsidRPr="008B3BF4" w:rsidRDefault="00F235C9" w:rsidP="00F235C9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 от </w:t>
      </w:r>
      <w:r w:rsidR="008204C0">
        <w:rPr>
          <w:rFonts w:ascii="Times New Roman" w:hAnsi="Times New Roman" w:cs="Times New Roman"/>
          <w:sz w:val="26"/>
          <w:szCs w:val="26"/>
        </w:rPr>
        <w:t>16</w:t>
      </w:r>
      <w:r w:rsidRPr="008B3BF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8B3BF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B3BF4">
        <w:rPr>
          <w:rFonts w:ascii="Times New Roman" w:hAnsi="Times New Roman" w:cs="Times New Roman"/>
          <w:sz w:val="26"/>
          <w:szCs w:val="26"/>
        </w:rPr>
        <w:t xml:space="preserve">  №</w:t>
      </w:r>
      <w:r w:rsidR="008204C0">
        <w:rPr>
          <w:rFonts w:ascii="Times New Roman" w:hAnsi="Times New Roman" w:cs="Times New Roman"/>
          <w:sz w:val="26"/>
          <w:szCs w:val="26"/>
        </w:rPr>
        <w:t xml:space="preserve"> 214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3B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35C9" w:rsidRDefault="00F235C9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47B8" w:rsidRPr="008B3BF4" w:rsidRDefault="00F235C9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47B8" w:rsidRPr="008B3BF4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</w:t>
      </w: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C747B8" w:rsidRPr="008B3BF4" w:rsidRDefault="00C747B8" w:rsidP="00C747B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 от </w:t>
      </w:r>
      <w:r w:rsidR="00497D8C">
        <w:rPr>
          <w:rFonts w:ascii="Times New Roman" w:hAnsi="Times New Roman" w:cs="Times New Roman"/>
          <w:sz w:val="26"/>
          <w:szCs w:val="26"/>
        </w:rPr>
        <w:t>12</w:t>
      </w:r>
      <w:r w:rsidRPr="008B3BF4">
        <w:rPr>
          <w:rFonts w:ascii="Times New Roman" w:hAnsi="Times New Roman" w:cs="Times New Roman"/>
          <w:sz w:val="26"/>
          <w:szCs w:val="26"/>
        </w:rPr>
        <w:t>.</w:t>
      </w:r>
      <w:r w:rsidR="00497D8C">
        <w:rPr>
          <w:rFonts w:ascii="Times New Roman" w:hAnsi="Times New Roman" w:cs="Times New Roman"/>
          <w:sz w:val="26"/>
          <w:szCs w:val="26"/>
        </w:rPr>
        <w:t>12</w:t>
      </w:r>
      <w:r w:rsidRPr="008B3BF4">
        <w:rPr>
          <w:rFonts w:ascii="Times New Roman" w:hAnsi="Times New Roman" w:cs="Times New Roman"/>
          <w:sz w:val="26"/>
          <w:szCs w:val="26"/>
        </w:rPr>
        <w:t>.2022  №</w:t>
      </w:r>
      <w:r w:rsidR="00497D8C">
        <w:rPr>
          <w:rFonts w:ascii="Times New Roman" w:hAnsi="Times New Roman" w:cs="Times New Roman"/>
          <w:sz w:val="26"/>
          <w:szCs w:val="26"/>
        </w:rPr>
        <w:t xml:space="preserve"> 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3B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4796" w:rsidRPr="007E4422" w:rsidRDefault="00824796" w:rsidP="00824796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  <w:lang w:eastAsia="en-US"/>
        </w:rPr>
      </w:pPr>
    </w:p>
    <w:p w:rsidR="00824796" w:rsidRPr="007E4422" w:rsidRDefault="00824796" w:rsidP="00824796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  <w:lang w:eastAsia="en-US"/>
        </w:rPr>
      </w:pPr>
    </w:p>
    <w:p w:rsidR="00824796" w:rsidRPr="007E4422" w:rsidRDefault="00824796" w:rsidP="00824796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en-US" w:bidi="ar-SA"/>
        </w:rPr>
      </w:pPr>
      <w:r w:rsidRPr="007E4422">
        <w:rPr>
          <w:rFonts w:ascii="Times New Roman" w:hAnsi="Times New Roman" w:cs="Times New Roman"/>
          <w:b/>
          <w:sz w:val="26"/>
          <w:szCs w:val="26"/>
          <w:lang w:eastAsia="en-US" w:bidi="ar-SA"/>
        </w:rPr>
        <w:t>ПРОГРАММА</w:t>
      </w:r>
    </w:p>
    <w:p w:rsidR="00D21D70" w:rsidRPr="007E4422" w:rsidRDefault="00824796" w:rsidP="00D2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42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 w:rsidR="00D21D70" w:rsidRPr="007E4422">
        <w:rPr>
          <w:rFonts w:ascii="Times New Roman" w:eastAsia="Times New Roman" w:hAnsi="Times New Roman" w:cs="Times New Roman"/>
          <w:b/>
          <w:sz w:val="26"/>
          <w:szCs w:val="26"/>
        </w:rPr>
        <w:t>на 2023 год в  рамках муниципального жилищного контроля на территории    Никольского сельского поселения Новоусманского муниципального</w:t>
      </w:r>
    </w:p>
    <w:p w:rsidR="00824796" w:rsidRPr="007E4422" w:rsidRDefault="00D21D70" w:rsidP="00D21D70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</w:t>
      </w:r>
    </w:p>
    <w:p w:rsidR="007E4422" w:rsidRPr="007E4422" w:rsidRDefault="007E4422" w:rsidP="00D21D70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4422" w:rsidRPr="007E4422" w:rsidRDefault="007E4422" w:rsidP="007E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7E4422">
        <w:rPr>
          <w:rFonts w:ascii="Times New Roman" w:eastAsia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2023 год в рамках муниципального контроля на территории Никольского сельского поселения Новоусманского муниципального района Воронежской области»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7E4422">
        <w:rPr>
          <w:rFonts w:ascii="Times New Roman" w:eastAsia="Times New Roman" w:hAnsi="Times New Roman" w:cs="Times New Roman"/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E4422" w:rsidRPr="007E4422" w:rsidRDefault="007E4422" w:rsidP="007E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sz w:val="26"/>
          <w:szCs w:val="26"/>
        </w:rPr>
        <w:t xml:space="preserve">     Настоящая Программа разработана и подлежит исполнению администрацией Никольского сельского поселения (далее по тексту – администрация). </w:t>
      </w:r>
    </w:p>
    <w:p w:rsidR="00824796" w:rsidRPr="007E4422" w:rsidRDefault="00824796" w:rsidP="00824796">
      <w:pPr>
        <w:pStyle w:val="aa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1. Анализ текущего состояния осуществления муниципального </w:t>
      </w: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жилищного контроля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</w:t>
      </w:r>
      <w:proofErr w:type="spellStart"/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ресурсоснабжающие</w:t>
      </w:r>
      <w:proofErr w:type="spellEnd"/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организации;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 некоммерческие организации товарищества собственников жилья (далее – ТСЖ);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граждане, занимающие помещения муниципального жилищного фонда на основании договоров социального найма жилых помещений.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lastRenderedPageBreak/>
        <w:t>1.3. Объектами муниципального жилищного контроля являются: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>1.4. На территории Никольского сельского поселения обслуживание многоквартирных домов осуществляет МКП НСП «ЖКХ «</w:t>
      </w:r>
      <w:proofErr w:type="spellStart"/>
      <w:r w:rsidRPr="007E4422">
        <w:rPr>
          <w:rFonts w:ascii="Times New Roman" w:hAnsi="Times New Roman" w:cs="Times New Roman"/>
          <w:sz w:val="26"/>
          <w:szCs w:val="26"/>
          <w:lang w:bidi="ar-SA"/>
        </w:rPr>
        <w:t>Масловское</w:t>
      </w:r>
      <w:proofErr w:type="spellEnd"/>
      <w:r w:rsidRPr="007E4422">
        <w:rPr>
          <w:rFonts w:ascii="Times New Roman" w:hAnsi="Times New Roman" w:cs="Times New Roman"/>
          <w:sz w:val="26"/>
          <w:szCs w:val="26"/>
          <w:lang w:bidi="ar-SA"/>
        </w:rPr>
        <w:t xml:space="preserve">». </w:t>
      </w:r>
    </w:p>
    <w:p w:rsidR="00862877" w:rsidRPr="00543911" w:rsidRDefault="00824796" w:rsidP="00862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86287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1.5. </w:t>
      </w:r>
      <w:proofErr w:type="gramStart"/>
      <w:r w:rsidR="0086287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 итогам </w:t>
      </w:r>
      <w:r w:rsidR="00862877"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>2023 год</w:t>
      </w:r>
      <w:r w:rsidR="00862877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="00862877"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62877"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>правоприменитальная</w:t>
      </w:r>
      <w:proofErr w:type="spellEnd"/>
      <w:r w:rsidR="00862877"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практика в рамках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 w:rsidR="0086287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должна быть обобщена, доклад о правоприменительной практике в срок до 15 января следующего года размещен на сайте администрации Никольского сельского </w:t>
      </w:r>
      <w:r w:rsidR="00862877"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поселения </w:t>
      </w:r>
      <w:r w:rsidR="00862877" w:rsidRPr="00543911">
        <w:rPr>
          <w:rFonts w:ascii="Times New Roman" w:hAnsi="Times New Roman"/>
          <w:color w:val="FF0000"/>
          <w:sz w:val="28"/>
          <w:szCs w:val="28"/>
        </w:rPr>
        <w:t>в информационно-телекоммуникационной</w:t>
      </w:r>
      <w:proofErr w:type="gramEnd"/>
      <w:r w:rsidR="00862877" w:rsidRPr="00543911">
        <w:rPr>
          <w:rFonts w:ascii="Times New Roman" w:hAnsi="Times New Roman"/>
          <w:color w:val="FF0000"/>
          <w:sz w:val="28"/>
          <w:szCs w:val="28"/>
        </w:rPr>
        <w:t xml:space="preserve"> сети «Интернет» </w:t>
      </w:r>
      <w:hyperlink r:id="rId7" w:history="1"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  <w:lang w:val="en-US"/>
          </w:rPr>
          <w:t>https</w:t>
        </w:r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</w:rPr>
          <w:t>://</w:t>
        </w:r>
        <w:proofErr w:type="spellStart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  <w:lang w:val="en-US"/>
          </w:rPr>
          <w:t>nikolskoe</w:t>
        </w:r>
        <w:proofErr w:type="spellEnd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</w:rPr>
          <w:t>-</w:t>
        </w:r>
        <w:proofErr w:type="spellStart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  <w:lang w:val="en-US"/>
          </w:rPr>
          <w:t>novousmanskij</w:t>
        </w:r>
        <w:proofErr w:type="spellEnd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</w:rPr>
          <w:t>-</w:t>
        </w:r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  <w:lang w:val="en-US"/>
          </w:rPr>
          <w:t>r</w:t>
        </w:r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</w:rPr>
          <w:t>20.</w:t>
        </w:r>
        <w:proofErr w:type="spellStart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  <w:lang w:val="en-US"/>
          </w:rPr>
          <w:t>gosweb</w:t>
        </w:r>
        <w:proofErr w:type="spellEnd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</w:rPr>
          <w:t>.</w:t>
        </w:r>
        <w:proofErr w:type="spellStart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  <w:lang w:val="en-US"/>
          </w:rPr>
          <w:t>gosuslugi</w:t>
        </w:r>
        <w:proofErr w:type="spellEnd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</w:rPr>
          <w:t>.</w:t>
        </w:r>
        <w:proofErr w:type="spellStart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  <w:proofErr w:type="spellEnd"/>
        <w:r w:rsidR="00862877" w:rsidRPr="00543911">
          <w:rPr>
            <w:rStyle w:val="ab"/>
            <w:rFonts w:ascii="Times New Roman" w:hAnsi="Times New Roman"/>
            <w:color w:val="FF0000"/>
            <w:sz w:val="28"/>
            <w:szCs w:val="28"/>
          </w:rPr>
          <w:t>/</w:t>
        </w:r>
      </w:hyperlink>
      <w:r w:rsidR="00862877">
        <w:rPr>
          <w:color w:val="FF0000"/>
        </w:rPr>
        <w:t>.</w:t>
      </w:r>
    </w:p>
    <w:p w:rsidR="00824796" w:rsidRPr="007E4422" w:rsidRDefault="00824796" w:rsidP="00824796">
      <w:pPr>
        <w:pStyle w:val="aa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2. Цели и задачи реализации программы профилактики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1)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2)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3)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2.2. Задачами Программы являются: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–  укрепление системы профилактики нарушений обязательных требований;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– формирование одинакового понимания обязательных требований у всех участников контрольной деятельности.</w:t>
      </w: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3. Перечень профилактических мероприятий, сроки (периодичность) </w:t>
      </w: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их проведения</w:t>
      </w:r>
    </w:p>
    <w:tbl>
      <w:tblPr>
        <w:tblStyle w:val="1"/>
        <w:tblpPr w:leftFromText="180" w:rightFromText="180" w:vertAnchor="text" w:horzAnchor="margin" w:tblpX="156" w:tblpY="191"/>
        <w:tblW w:w="10173" w:type="dxa"/>
        <w:tblLayout w:type="fixed"/>
        <w:tblLook w:val="04A0"/>
      </w:tblPr>
      <w:tblGrid>
        <w:gridCol w:w="674"/>
        <w:gridCol w:w="4112"/>
        <w:gridCol w:w="2977"/>
        <w:gridCol w:w="2410"/>
      </w:tblGrid>
      <w:tr w:rsidR="00824796" w:rsidRPr="007E4422" w:rsidTr="0082047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82047D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82047D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Наименование формы</w:t>
            </w:r>
          </w:p>
          <w:p w:rsidR="00824796" w:rsidRPr="0082047D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proofErr w:type="spellStart"/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мероприятия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82047D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Срок</w:t>
            </w:r>
            <w:proofErr w:type="spellEnd"/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периодичность</w:t>
            </w:r>
            <w:proofErr w:type="spellEnd"/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проведения</w:t>
            </w:r>
            <w:proofErr w:type="spellEnd"/>
          </w:p>
          <w:p w:rsidR="00824796" w:rsidRPr="0082047D" w:rsidRDefault="007E4422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м</w:t>
            </w:r>
            <w:proofErr w:type="spellStart"/>
            <w:r w:rsidR="00824796"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ероприятия</w:t>
            </w:r>
            <w:proofErr w:type="spellEnd"/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82047D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Ответственный</w:t>
            </w:r>
            <w:proofErr w:type="spellEnd"/>
          </w:p>
          <w:p w:rsidR="00824796" w:rsidRPr="0082047D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proofErr w:type="spellStart"/>
            <w:r w:rsidRPr="0082047D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исполнитель</w:t>
            </w:r>
            <w:proofErr w:type="spellEnd"/>
          </w:p>
          <w:p w:rsidR="00824796" w:rsidRPr="0082047D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</w:tc>
      </w:tr>
      <w:tr w:rsidR="00824796" w:rsidRPr="007E4422" w:rsidTr="0082047D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7E4422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1. Информирование</w:t>
            </w:r>
          </w:p>
        </w:tc>
      </w:tr>
      <w:tr w:rsidR="00824796" w:rsidRPr="007E4422" w:rsidTr="0082047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1.1.</w:t>
            </w: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 xml:space="preserve">Актуализация и размещение в </w:t>
            </w: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>сети «Интернет» на официальном сайте администрации: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д</w:t>
            </w:r>
            <w:proofErr w:type="spellEnd"/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 исчерпывающего перечня сведений, которые могут запрашиваться контрольным органом</w:t>
            </w: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у контролируемого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Администрация </w:t>
            </w: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24796" w:rsidRPr="007E4422" w:rsidTr="0082047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1) профилактика рисков нарушения обязательных требований;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2) соблюдение обязательных требований;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3) порядок осуществления муниципального жилищного контроля;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4) порядок обжалования решений или действия администрации;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5) иные вопросы, касающиеся осуществления муниципального жилищного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по запросу в форме устных и письменных разъяснений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Администрация</w:t>
            </w:r>
          </w:p>
        </w:tc>
      </w:tr>
      <w:tr w:rsidR="00824796" w:rsidRPr="007E4422" w:rsidTr="0082047D">
        <w:tblPrEx>
          <w:tblLook w:val="0000"/>
        </w:tblPrEx>
        <w:trPr>
          <w:trHeight w:val="276"/>
        </w:trPr>
        <w:tc>
          <w:tcPr>
            <w:tcW w:w="674" w:type="dxa"/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7E44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1.3.</w:t>
            </w:r>
          </w:p>
        </w:tc>
        <w:tc>
          <w:tcPr>
            <w:tcW w:w="4112" w:type="dxa"/>
            <w:shd w:val="clear" w:color="auto" w:fill="auto"/>
          </w:tcPr>
          <w:p w:rsidR="00824796" w:rsidRPr="007E4422" w:rsidRDefault="00824796" w:rsidP="00F0355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Объявление предостережения о </w:t>
            </w: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недопустимости нарушения обязательных требований.</w:t>
            </w:r>
          </w:p>
        </w:tc>
        <w:tc>
          <w:tcPr>
            <w:tcW w:w="2977" w:type="dxa"/>
            <w:shd w:val="clear" w:color="auto" w:fill="auto"/>
          </w:tcPr>
          <w:p w:rsidR="00824796" w:rsidRPr="007E4422" w:rsidRDefault="00824796" w:rsidP="00F0355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в течение года </w:t>
            </w:r>
          </w:p>
          <w:p w:rsidR="00824796" w:rsidRPr="007E4422" w:rsidRDefault="00824796" w:rsidP="00F0355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(при наличии оснований)</w:t>
            </w:r>
          </w:p>
        </w:tc>
        <w:tc>
          <w:tcPr>
            <w:tcW w:w="2410" w:type="dxa"/>
            <w:shd w:val="clear" w:color="auto" w:fill="auto"/>
          </w:tcPr>
          <w:p w:rsidR="00824796" w:rsidRPr="007E4422" w:rsidRDefault="00824796" w:rsidP="00F03559">
            <w:pPr>
              <w:rPr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Администрация</w:t>
            </w:r>
          </w:p>
        </w:tc>
      </w:tr>
      <w:tr w:rsidR="00824796" w:rsidRPr="007E4422" w:rsidTr="0082047D">
        <w:tblPrEx>
          <w:tblLook w:val="0000"/>
        </w:tblPrEx>
        <w:trPr>
          <w:trHeight w:val="276"/>
        </w:trPr>
        <w:tc>
          <w:tcPr>
            <w:tcW w:w="674" w:type="dxa"/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7E44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1.4.</w:t>
            </w:r>
          </w:p>
        </w:tc>
        <w:tc>
          <w:tcPr>
            <w:tcW w:w="4112" w:type="dxa"/>
            <w:shd w:val="clear" w:color="auto" w:fill="auto"/>
          </w:tcPr>
          <w:p w:rsidR="00824796" w:rsidRPr="007E4422" w:rsidRDefault="00824796" w:rsidP="00F0355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Профилактический визит</w:t>
            </w:r>
            <w:r w:rsidRPr="007E4422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в целях </w:t>
            </w: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24796" w:rsidRPr="007E4422" w:rsidRDefault="00824796" w:rsidP="00F0355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  <w:shd w:val="clear" w:color="auto" w:fill="auto"/>
          </w:tcPr>
          <w:p w:rsidR="00824796" w:rsidRPr="007E4422" w:rsidRDefault="00824796" w:rsidP="00F03559">
            <w:pPr>
              <w:rPr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spacing w:val="2"/>
                <w:sz w:val="26"/>
                <w:szCs w:val="26"/>
                <w:shd w:val="clear" w:color="auto" w:fill="FFFFFF"/>
              </w:rPr>
              <w:t>Администрация</w:t>
            </w:r>
          </w:p>
        </w:tc>
      </w:tr>
    </w:tbl>
    <w:p w:rsidR="00824796" w:rsidRPr="00B7142C" w:rsidRDefault="00824796" w:rsidP="00B7142C">
      <w:pPr>
        <w:pStyle w:val="aa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bookmarkStart w:id="0" w:name="sub_1150"/>
    </w:p>
    <w:p w:rsidR="00824796" w:rsidRPr="007E4422" w:rsidRDefault="00824796" w:rsidP="0082479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E4422">
        <w:rPr>
          <w:rFonts w:ascii="Times New Roman" w:hAnsi="Times New Roman" w:cs="Times New Roman"/>
          <w:sz w:val="26"/>
          <w:szCs w:val="26"/>
        </w:rPr>
        <w:t>4. Показатели результативности и эффективности Программы</w:t>
      </w:r>
    </w:p>
    <w:tbl>
      <w:tblPr>
        <w:tblW w:w="10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3327"/>
      </w:tblGrid>
      <w:tr w:rsidR="00824796" w:rsidRPr="007E4422" w:rsidTr="0082047D">
        <w:trPr>
          <w:trHeight w:val="1042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Исполнение</w:t>
            </w:r>
          </w:p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показателя</w:t>
            </w:r>
          </w:p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2022 год,</w:t>
            </w:r>
          </w:p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%</w:t>
            </w:r>
          </w:p>
        </w:tc>
      </w:tr>
      <w:tr w:rsidR="00824796" w:rsidRPr="007E4422" w:rsidTr="0082047D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ConsPlusNormal"/>
              <w:jc w:val="both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82047D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100%</w:t>
            </w:r>
          </w:p>
        </w:tc>
      </w:tr>
      <w:tr w:rsidR="00824796" w:rsidRPr="007E4422" w:rsidTr="0082047D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ConsPlusNormal"/>
              <w:jc w:val="both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82047D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100%</w:t>
            </w:r>
          </w:p>
        </w:tc>
      </w:tr>
    </w:tbl>
    <w:bookmarkEnd w:id="0"/>
    <w:p w:rsidR="00824796" w:rsidRPr="007E4422" w:rsidRDefault="00862877" w:rsidP="008204C0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</w:rPr>
      </w:pPr>
      <w:r>
        <w:rPr>
          <w:rFonts w:ascii="yandex-sans" w:eastAsia="Times New Roman" w:hAnsi="yandex-sans" w:cs="Times New Roman"/>
          <w:color w:val="000000" w:themeColor="text1"/>
          <w:sz w:val="26"/>
          <w:szCs w:val="26"/>
        </w:rPr>
        <w:t>.</w:t>
      </w:r>
      <w:r>
        <w:rPr>
          <w:rFonts w:ascii="yandex-sans" w:eastAsia="Times New Roman" w:hAnsi="yandex-sans" w:cs="Times New Roman" w:hint="eastAsia"/>
          <w:color w:val="000000" w:themeColor="text1"/>
          <w:sz w:val="26"/>
          <w:szCs w:val="26"/>
        </w:rPr>
        <w:t>»</w:t>
      </w:r>
    </w:p>
    <w:p w:rsidR="00824796" w:rsidRPr="007E4422" w:rsidRDefault="00824796" w:rsidP="00824796">
      <w:pPr>
        <w:spacing w:after="0" w:line="240" w:lineRule="auto"/>
        <w:rPr>
          <w:sz w:val="26"/>
          <w:szCs w:val="26"/>
        </w:rPr>
      </w:pPr>
    </w:p>
    <w:p w:rsidR="00FC3391" w:rsidRPr="007E4422" w:rsidRDefault="00FC3391" w:rsidP="00FC33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3391" w:rsidRPr="007E4422" w:rsidRDefault="00FC3391" w:rsidP="00FC33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5E72" w:rsidRDefault="00A75E72" w:rsidP="00FC3391">
      <w:pPr>
        <w:rPr>
          <w:sz w:val="26"/>
          <w:szCs w:val="26"/>
        </w:rPr>
      </w:pPr>
    </w:p>
    <w:p w:rsidR="007E4422" w:rsidRDefault="007E4422" w:rsidP="00FC3391">
      <w:pPr>
        <w:rPr>
          <w:sz w:val="26"/>
          <w:szCs w:val="26"/>
        </w:rPr>
      </w:pPr>
    </w:p>
    <w:p w:rsidR="007E4422" w:rsidRDefault="007E4422" w:rsidP="00FC3391">
      <w:pPr>
        <w:rPr>
          <w:sz w:val="26"/>
          <w:szCs w:val="26"/>
        </w:rPr>
      </w:pPr>
    </w:p>
    <w:p w:rsidR="007E4422" w:rsidRDefault="007E4422" w:rsidP="00FC3391">
      <w:pPr>
        <w:rPr>
          <w:sz w:val="26"/>
          <w:szCs w:val="26"/>
        </w:rPr>
      </w:pPr>
    </w:p>
    <w:p w:rsidR="007E4422" w:rsidRDefault="007E4422" w:rsidP="00FC3391">
      <w:pPr>
        <w:rPr>
          <w:sz w:val="26"/>
          <w:szCs w:val="26"/>
        </w:rPr>
      </w:pPr>
    </w:p>
    <w:p w:rsidR="007E4422" w:rsidRPr="007E4422" w:rsidRDefault="007E4422" w:rsidP="00FC3391">
      <w:pPr>
        <w:rPr>
          <w:sz w:val="26"/>
          <w:szCs w:val="26"/>
        </w:rPr>
      </w:pPr>
    </w:p>
    <w:sectPr w:rsidR="007E4422" w:rsidRPr="007E4422" w:rsidSect="00F035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59BD"/>
    <w:rsid w:val="0006636C"/>
    <w:rsid w:val="000E7663"/>
    <w:rsid w:val="0019435B"/>
    <w:rsid w:val="001A6FE7"/>
    <w:rsid w:val="002F46C9"/>
    <w:rsid w:val="00315DDB"/>
    <w:rsid w:val="003209B2"/>
    <w:rsid w:val="00497D8C"/>
    <w:rsid w:val="005220A3"/>
    <w:rsid w:val="00532A9E"/>
    <w:rsid w:val="005474B1"/>
    <w:rsid w:val="00632609"/>
    <w:rsid w:val="00690A83"/>
    <w:rsid w:val="006D254C"/>
    <w:rsid w:val="007359BD"/>
    <w:rsid w:val="007E4422"/>
    <w:rsid w:val="0080626A"/>
    <w:rsid w:val="0082047D"/>
    <w:rsid w:val="008204C0"/>
    <w:rsid w:val="00821E82"/>
    <w:rsid w:val="00824796"/>
    <w:rsid w:val="0085031C"/>
    <w:rsid w:val="00862877"/>
    <w:rsid w:val="008B3164"/>
    <w:rsid w:val="008B3BF4"/>
    <w:rsid w:val="00927C06"/>
    <w:rsid w:val="00993B08"/>
    <w:rsid w:val="00A75E72"/>
    <w:rsid w:val="00B7142C"/>
    <w:rsid w:val="00BC630B"/>
    <w:rsid w:val="00C35C05"/>
    <w:rsid w:val="00C747B8"/>
    <w:rsid w:val="00D21D70"/>
    <w:rsid w:val="00D45E0A"/>
    <w:rsid w:val="00DE147C"/>
    <w:rsid w:val="00F03559"/>
    <w:rsid w:val="00F235C9"/>
    <w:rsid w:val="00FC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5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Strong"/>
    <w:basedOn w:val="a0"/>
    <w:uiPriority w:val="22"/>
    <w:qFormat/>
    <w:rsid w:val="007359BD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1"/>
    <w:qFormat/>
    <w:rsid w:val="007359BD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359B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359BD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359BD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7359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9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3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C339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24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Normal (Web)"/>
    <w:basedOn w:val="a"/>
    <w:uiPriority w:val="99"/>
    <w:unhideWhenUsed/>
    <w:rsid w:val="008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2479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table" w:customStyle="1" w:styleId="1">
    <w:name w:val="Сетка таблицы1"/>
    <w:basedOn w:val="a1"/>
    <w:next w:val="a6"/>
    <w:uiPriority w:val="59"/>
    <w:rsid w:val="0082479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862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kolskoe-novousmanskij-r20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kolskoe-novousmanskij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CF08-0641-4BB2-B778-B89915CB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2022-12-12T10:47:00Z</cp:lastPrinted>
  <dcterms:created xsi:type="dcterms:W3CDTF">2022-09-15T10:27:00Z</dcterms:created>
  <dcterms:modified xsi:type="dcterms:W3CDTF">2023-08-16T11:01:00Z</dcterms:modified>
</cp:coreProperties>
</file>